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85" w:rsidRDefault="00F43270" w:rsidP="00F43270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IMPOZITE ŞI TAXE LOCALE APLICABILE ÎN ANUL FISCAL 2019</w:t>
      </w:r>
    </w:p>
    <w:p w:rsidR="00E75F85" w:rsidRDefault="006C53F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clădire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taxa pe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clădire</w:t>
      </w:r>
      <w:proofErr w:type="spellEnd"/>
    </w:p>
    <w:p w:rsidR="00E75F85" w:rsidRDefault="006C53F2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Calculul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rezidenţiale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fizice</w:t>
      </w:r>
      <w:proofErr w:type="spellEnd"/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(1)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rezidenţiale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clădirile-anexă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</w:t>
      </w:r>
      <w:bookmarkStart w:id="0" w:name="_GoBack"/>
      <w:bookmarkEnd w:id="0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cote de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0,2%,</w:t>
      </w:r>
      <w:r>
        <w:rPr>
          <w:rFonts w:ascii="Verdana" w:eastAsia="Times New Roman" w:hAnsi="Verdana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(2)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exprimată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lei,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determină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desfăşurate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acesteia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exprimată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metri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pătraţi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exprimată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lei/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mp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p w:rsidR="00E75F85" w:rsidRDefault="00E75F85">
      <w:pPr>
        <w:shd w:val="clear" w:color="auto" w:fill="FFFFFF"/>
        <w:spacing w:after="72" w:line="240" w:lineRule="auto"/>
        <w:jc w:val="center"/>
        <w:rPr>
          <w:rFonts w:ascii="Verdana" w:eastAsia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9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2416"/>
        <w:gridCol w:w="2402"/>
      </w:tblGrid>
      <w:tr w:rsidR="00E75F85">
        <w:tc>
          <w:tcPr>
            <w:tcW w:w="4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center"/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Tipul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clădirii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Valoarea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impozabilă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 lei/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5F85">
        <w:tc>
          <w:tcPr>
            <w:tcW w:w="4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E75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instalaţii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canalizare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electrice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încălzire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condiţii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cumulative)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instalaţii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canalizare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electrice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încălzire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cadre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beton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armat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pereţi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exteriori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cărămidă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arsă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orice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rezultate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urma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unui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tratament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chimic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3F4B9C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1.013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60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</w:t>
            </w:r>
          </w:p>
        </w:tc>
      </w:tr>
      <w:tr w:rsidR="00E75F8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pereţii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exteriori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lemn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din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piatră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naturală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cărămidă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nearsă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vălătuci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orice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nesupuse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unui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tratament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chimic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30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20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E75F8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Clădire-anexă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cadre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beton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armat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pereţi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exteriori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cărămidă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arsă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orice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rezultate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urma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unui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tratament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chimic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20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17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</w:p>
        </w:tc>
      </w:tr>
      <w:tr w:rsidR="00E75F8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Clădire-anexă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pereţii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exteriori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lemn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din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piatră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naturală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cărămidă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nearsă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vălătuci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orice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nesupuse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unui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tratament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chimic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12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 w:rsidP="003F4B9C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</w:t>
            </w:r>
          </w:p>
        </w:tc>
      </w:tr>
      <w:tr w:rsidR="00E75F8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cazul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contribuabilului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deţine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aceeaşi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încăperi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amplasate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subsol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demisol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mansardă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utilizate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locuinţă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oricare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dintre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tipurile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prevăzute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lit. A-D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75%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care s-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aplica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75%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care s-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aplica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 xml:space="preserve">F.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cazul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contribuabilului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deţine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aceeaşi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adresă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încăperi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amplasate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subsol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demisol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mansardă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utilizate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scopuri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decât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locuinţă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oricare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dintre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tipurile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prevăzute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lit. A-D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50%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care s-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aplica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50%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care s-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aplica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clădirii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(3)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care are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pereţii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exteriori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materiale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stabilirea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impozabile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identifică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(2)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materialului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ponderea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mare.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C00000"/>
          <w:sz w:val="20"/>
          <w:szCs w:val="20"/>
          <w:shd w:val="clear" w:color="auto" w:fill="FFFFFF"/>
        </w:rPr>
        <w:t xml:space="preserve"> (4)</w:t>
      </w:r>
      <w:r>
        <w:rPr>
          <w:rFonts w:ascii="Verdana" w:eastAsia="Times New Roman" w:hAnsi="Verdana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construită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desfăşurată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determină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însumarea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suprafeţelor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secţiunilor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tuturor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nivelurilor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inclusiv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balcoanelor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logiilor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situate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subsol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mansardă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exceptând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suprafeţele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podurilor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neutilizate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locuinţă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ale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scărilor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teraselor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neacoperite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(5)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dimensiunile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exterioare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nu pot fi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efectiv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măsurate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conturul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exterior,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atunci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desfăşurată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determină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utile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coeficient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transformare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1,4.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(6)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ajustează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funcţie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u w:val="single"/>
          <w:shd w:val="clear" w:color="auto" w:fill="FFFFFF"/>
        </w:rPr>
        <w:t>rangul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localităţii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zona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amplasată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clădirea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determinate conform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u w:val="single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u w:val="single"/>
            <w:shd w:val="clear" w:color="auto" w:fill="FFFFFF"/>
          </w:rPr>
          <w:t>. (2)-(5)</w:t>
        </w:r>
      </w:hyperlink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coeficientul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corecţie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corespunzător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sz w:val="20"/>
          <w:szCs w:val="20"/>
          <w:u w:val="single"/>
          <w:shd w:val="clear" w:color="auto" w:fill="FFFFFF"/>
        </w:rPr>
        <w:t>:</w:t>
      </w:r>
    </w:p>
    <w:tbl>
      <w:tblPr>
        <w:tblW w:w="5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780"/>
        <w:gridCol w:w="780"/>
        <w:gridCol w:w="780"/>
        <w:gridCol w:w="824"/>
        <w:gridCol w:w="780"/>
        <w:gridCol w:w="795"/>
      </w:tblGrid>
      <w:tr w:rsidR="00E75F85"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Zona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cadrul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localităţii</w:t>
            </w:r>
            <w:proofErr w:type="spellEnd"/>
          </w:p>
        </w:tc>
        <w:tc>
          <w:tcPr>
            <w:tcW w:w="4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Rangul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localităţii</w:t>
            </w:r>
            <w:proofErr w:type="spellEnd"/>
          </w:p>
        </w:tc>
      </w:tr>
      <w:tr w:rsidR="00E75F85"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E75F8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III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V 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2,60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2,50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2,30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1,10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1,05 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2,50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2,30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2,20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1,05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1,00 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2,30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2,20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2,10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0,95 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2,30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2,20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2,10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2,00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0,95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0,90 </w:t>
            </w:r>
          </w:p>
        </w:tc>
      </w:tr>
    </w:tbl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(7)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apartament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într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-un bloc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mult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3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niveluri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apartamente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coeficientul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corecţie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la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(6)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reduce cu 0,10.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</w:rPr>
        <w:t>(8)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determinată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urma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aplicării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(1)-(7)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se reduce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funcţie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terminării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acesteia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cum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: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</w:rPr>
        <w:t>a)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50%,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care are o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vechime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peste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100 de ani la data de 1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ianuarie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fiscal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</w:rPr>
        <w:t>b)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30%,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care are o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vechime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cuprinsă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între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50 de ani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100 de ani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inclusiv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la data de 1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ianuarie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c)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10%,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are o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vechime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cuprinsă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între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30 de ani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50 de ani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inclusiv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la data de 1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ianuarie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(9)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care au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executate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renovare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majoră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punct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vedere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terminării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actualizează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astfel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acesta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consideră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fiind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efectuată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recepţia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terminarea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Renovarea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majoră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reprezintă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acţiunea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complexă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cuprinde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obligatoriu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intervenţie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rezistenţă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asigurarea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cerinţei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fundamentale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rezistenţă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mecanică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acţiuni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reconstruire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consolidare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modernizare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extindere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precum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alte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intervenţie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menţinerea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întreaga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exploatare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celorlalte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cerinţe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fundamentale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aplicabile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construcţiilor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conform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legii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vizând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principal,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creşterea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performanţei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energetice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arhitectural-ambientale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funcţionale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terminării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actualizează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condiţiile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care,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terminarea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renovare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majoră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creşte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puţin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50%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acesteia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data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începerii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executării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6C53F2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Calculul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nerezidenţiale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u w:val="single"/>
          <w:shd w:val="clear" w:color="auto" w:fill="FFFFFF"/>
        </w:rPr>
        <w:t>fizice</w:t>
      </w:r>
      <w:proofErr w:type="spellEnd"/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(1)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nerezidenţiale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cote de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1,3%</w:t>
      </w:r>
      <w:r>
        <w:rPr>
          <w:rFonts w:ascii="Verdana" w:eastAsia="Times New Roman" w:hAnsi="Verdana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fi: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a)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rezultată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dintr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-un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raport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întocmit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un evaluator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autorizat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ultimii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5 ani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anteriori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depus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organul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fiscal local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primul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termen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plată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b)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finală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construcţii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noi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ultimii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5 ani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anteriori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c)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rezultă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transferă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dreptul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dobândite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ultimii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5 ani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anteriori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(4)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. (1)</w:t>
        </w:r>
      </w:hyperlink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cotei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2%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determinate conform art. 457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egea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nr. 227/2015.</w:t>
      </w:r>
    </w:p>
    <w:p w:rsidR="00E75F85" w:rsidRDefault="006C53F2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Calculul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destinaţie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mixtă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fizice</w:t>
      </w:r>
      <w:proofErr w:type="spellEnd"/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(1)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destinaţie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mixtă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însumarea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scop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rezidenţial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determinat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scop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nerezidenţial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(2)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domiciliu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la care nu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desfăşoară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nicio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economică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</w:t>
      </w:r>
      <w:hyperlink w:history="1"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art. 457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Legea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nr. 227/2015.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(3)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suprafeţele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scop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rezidenţial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scop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nerezidenţial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nu pot fi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evidenţiate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distinct,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următoarele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reguli: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a)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domiciliu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la care nu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desfăşoară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nicio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economică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art. 457</w:t>
      </w:r>
      <w:hyperlink w:history="1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Legea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nr. 227/2015.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b)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domiciliu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la care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desfăşoară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economică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iar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cheltuielile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utilităţile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sarcina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desfăşoară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economică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art. 458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Legea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nr. 227/2015.</w:t>
      </w:r>
    </w:p>
    <w:p w:rsidR="00E75F85" w:rsidRDefault="00E75F85">
      <w:pPr>
        <w:shd w:val="clear" w:color="auto" w:fill="FFFFFF"/>
        <w:spacing w:after="72" w:line="240" w:lineRule="auto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E75F85" w:rsidRDefault="006C53F2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Calculul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taxei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deţinute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persoanele</w:t>
      </w:r>
      <w:proofErr w:type="spellEnd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juridice</w:t>
      </w:r>
      <w:proofErr w:type="spellEnd"/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(1)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rezidenţiale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deţinute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cote de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0,2%</w:t>
      </w:r>
      <w:r>
        <w:rPr>
          <w:rFonts w:ascii="Verdana" w:eastAsia="Times New Roman" w:hAnsi="Verdana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(2)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nerezidenţiale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deţinute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cote de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1,3%,</w:t>
      </w:r>
      <w:r>
        <w:rPr>
          <w:rFonts w:ascii="Verdana" w:eastAsia="Times New Roman" w:hAnsi="Verdana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(3)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nerezidenţiale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deţinute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utilizate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activităţi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domeniul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aplicarea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cote de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0,4%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(4)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destinaţie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mixtă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determină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însumarea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scop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rezidenţial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conform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(1)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calculat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folosită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scop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nerezidenţial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conform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(2)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(3)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(5)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taxei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la 31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decembrie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anterior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datorează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/taxa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fi: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a)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ultima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evidenţele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organului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b)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rezultată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dintr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-un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raport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întocmit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un evaluator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autorizat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conformitate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standardele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bunurilor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data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lastRenderedPageBreak/>
        <w:t>c)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finală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construcţii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noi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construite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cursul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anterior;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d)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rezultă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transferă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dreptul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dobândite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cursul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anterior;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e)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finanţate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baza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contract de leasing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financiar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rezultată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dintr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-un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raport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întocmit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un evaluator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autorizat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conformitate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standardele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bunurilor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data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f)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datorează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înscrisă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contabilitatea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proprietarului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comunicată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concesionarului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locatarului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titularului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dreptului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administrare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(6)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actualizează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3 ani pe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baza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raport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întocmit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un evaluator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autorizat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conformitate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standardele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evaluare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bunurilor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data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depus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organul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fiscal local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primul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termen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plată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(7)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(6)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nu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aplică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aparţin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care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pronunţată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hotărâre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definitivă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declanşare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procedurii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falimentului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(7^1)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(6)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nu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aplică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care sunt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scutite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plata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taxei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potrivit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 xml:space="preserve">art. 456 </w:t>
        </w:r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(1)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Legea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nr. 227/2015.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(8)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actualizat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ultimii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3 ani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anteriori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cota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taxei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b/>
          <w:color w:val="C00000"/>
          <w:sz w:val="20"/>
          <w:szCs w:val="20"/>
          <w:shd w:val="clear" w:color="auto" w:fill="FFFFFF"/>
        </w:rPr>
        <w:t>5%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(9)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datorează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actualizat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ultimii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3 ani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anteriori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referinţă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diferenţa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taxă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(1)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(2)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datorată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propriet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E75F85">
      <w:pPr>
        <w:shd w:val="clear" w:color="auto" w:fill="FFFFFF"/>
        <w:spacing w:after="72" w:line="240" w:lineRule="auto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0721B1" w:rsidRDefault="000721B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0721B1" w:rsidRDefault="000721B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0721B1" w:rsidRDefault="000721B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0721B1" w:rsidRDefault="000721B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0721B1" w:rsidRDefault="000721B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E75F85" w:rsidRDefault="006C53F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lastRenderedPageBreak/>
        <w:t>Impozitul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taxa pe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teren</w:t>
      </w:r>
      <w:proofErr w:type="spellEnd"/>
    </w:p>
    <w:p w:rsidR="00E75F85" w:rsidRDefault="006C53F2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taxei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</w:t>
      </w:r>
      <w:proofErr w:type="spellEnd"/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(1)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stabileşte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luând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rangul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localităţii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zona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categoria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conform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încadrării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făcute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consiliul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local.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(2)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intravilan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categoria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folosinţă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construcţii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stabileşte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exprimată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hectare,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prevăzută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următorul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tabel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:</w:t>
      </w:r>
    </w:p>
    <w:p w:rsidR="00E75F85" w:rsidRDefault="00E75F85">
      <w:pPr>
        <w:shd w:val="clear" w:color="auto" w:fill="E6FFF7"/>
        <w:spacing w:after="72" w:line="240" w:lineRule="auto"/>
        <w:ind w:left="6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507"/>
        <w:gridCol w:w="1508"/>
        <w:gridCol w:w="1508"/>
        <w:gridCol w:w="1036"/>
        <w:gridCol w:w="1264"/>
        <w:gridCol w:w="1279"/>
      </w:tblGrid>
      <w:tr w:rsidR="00E75F85"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Zona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cadrul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localităţii</w:t>
            </w:r>
            <w:proofErr w:type="spellEnd"/>
          </w:p>
        </w:tc>
        <w:tc>
          <w:tcPr>
            <w:tcW w:w="8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Nivelurile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impozitului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taxei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pe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ranguri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localităţi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- lei/ha - </w:t>
            </w:r>
          </w:p>
        </w:tc>
      </w:tr>
      <w:tr w:rsidR="00E75F85"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E75F8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0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II   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III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IV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V 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8282-20706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6878-17194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6042-15106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13265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711-1788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569-1422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B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6878-17194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5199-12998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4215-10538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9013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569-1422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427-1068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5199-12998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3558-8894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2668-6670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4283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427-1068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284-710</w:t>
            </w:r>
          </w:p>
        </w:tc>
      </w:tr>
      <w:tr w:rsidR="00E75F85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D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3558-8894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1690-4226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1410-3526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24</w:t>
            </w:r>
            <w:r w:rsidR="003F4B9C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278-696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142-356</w:t>
            </w:r>
          </w:p>
        </w:tc>
      </w:tr>
    </w:tbl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(3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</w:rPr>
        <w:t>)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intravilan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altă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categorie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folosinţă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decât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construcţii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stabileşte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exprimată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hectare,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prevăzută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(4)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iar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acest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rezultat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înmulţeşte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coeficientul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corecţie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corespunzător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(5)</w:t>
        </w:r>
      </w:hyperlink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(4)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taxei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potrivit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. (3)</w:t>
        </w:r>
      </w:hyperlink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folosesc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exprimate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lei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hectar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77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700"/>
        <w:gridCol w:w="580"/>
        <w:gridCol w:w="580"/>
        <w:gridCol w:w="580"/>
        <w:gridCol w:w="595"/>
      </w:tblGrid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Nr.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Zona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Categoria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folosinţă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arabil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28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21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19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15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Păşune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21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19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15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13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Fâneaţă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21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19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15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13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Vie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47</w:t>
            </w:r>
            <w:r w:rsidR="006C53F2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35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28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19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Livadă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  <w:r w:rsidR="003F4B9C"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35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28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Pădure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alt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vegetaţie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forestieră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28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21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19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15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ape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15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13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8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Drumuri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căi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ferate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  <w:tr w:rsidR="00E75F85" w:rsidRPr="000721B1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neproductiv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0721B1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0721B1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</w:tbl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(5)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Suma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conform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(4)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mulţeşte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coeficientul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corecţie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4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682"/>
      </w:tblGrid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Rangul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localităţii</w:t>
            </w:r>
            <w:proofErr w:type="spellEnd"/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Coeficientul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corecţie</w:t>
            </w:r>
            <w:proofErr w:type="spellEnd"/>
          </w:p>
        </w:tc>
      </w:tr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8,00 </w:t>
            </w:r>
          </w:p>
        </w:tc>
      </w:tr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5,00 </w:t>
            </w:r>
          </w:p>
        </w:tc>
      </w:tr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4,00 </w:t>
            </w:r>
          </w:p>
        </w:tc>
      </w:tr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III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3,00 </w:t>
            </w:r>
          </w:p>
        </w:tc>
      </w:tr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1,10 </w:t>
            </w:r>
          </w:p>
        </w:tc>
      </w:tr>
      <w:tr w:rsidR="00E75F85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1,00 </w:t>
            </w:r>
          </w:p>
        </w:tc>
      </w:tr>
    </w:tbl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(6)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Ca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excepţie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(3)-(5)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contribuabililor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intravilan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altă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categorie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lastRenderedPageBreak/>
        <w:t>folosinţă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decât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terenuri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construcţii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conform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sz w:val="20"/>
            <w:szCs w:val="20"/>
            <w:shd w:val="clear" w:color="auto" w:fill="FFFFFF"/>
          </w:rPr>
          <w:t>. (7)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numai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îndeplinesc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cumulativ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următoarele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condiţii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: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a)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statut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obiect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;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b)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evidenţa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contabilă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fiscal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respectiv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venituri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cheltuieli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desfăşurarea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obiectului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</w:t>
      </w:r>
      <w:hyperlink w:history="1"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lit. a)</w:t>
        </w:r>
      </w:hyperlink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(7)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extravilan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/taxa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stabileşte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exprimată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hectare,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înmulţită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coeficientul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corecţie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</w:t>
      </w:r>
      <w:hyperlink w:history="1"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 xml:space="preserve">art. 457 </w:t>
        </w:r>
        <w:proofErr w:type="spellStart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. (6)</w:t>
        </w:r>
      </w:hyperlink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7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050"/>
        <w:gridCol w:w="1104"/>
      </w:tblGrid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Nr.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Categoria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folosinţă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Impozit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(lei)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construcţii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31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arabil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3F4B9C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51</w:t>
            </w:r>
            <w:r w:rsidR="006C53F2"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Păşune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28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Fâneaţă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28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Vie pe rod,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decât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prevăzută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nr.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5.1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3F4B9C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56</w:t>
            </w:r>
            <w:r w:rsidR="006C53F2"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Vie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intrarea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pe rod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Livadă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pe rod,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decât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prevăzută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nr.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6.1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3F4B9C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57</w:t>
            </w:r>
            <w:r w:rsidR="006C53F2"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Livadă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intrarea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pe rod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Pădure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alt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vegetaţie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forestieră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excepţia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celui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prevăzut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nr.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7.1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16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Pădure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vârstă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20 de ani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pădure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rol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protecţie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decât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amenajări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piscicole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6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amenajări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piscicole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34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Drumuri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căi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ferate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neproductiv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7C2C45" w:rsidRDefault="006C53F2" w:rsidP="007C2C45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7C2C45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0 </w:t>
            </w:r>
          </w:p>
        </w:tc>
      </w:tr>
    </w:tbl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(7^1)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terenurilor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aparţinând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cultelor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religioase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recunoscute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oficial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România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asociaţiilor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religioase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precum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componentelor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locale ale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acestora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excepţia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suprafeţelor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care sunt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folosite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activităţi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economice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valoarea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impozabilă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stabileşte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asimilare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terenurile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</w:rPr>
        <w:t>neproductive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</w:rPr>
        <w:t>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(8)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clădirile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terenurile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titularului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dreptului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asupra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acestora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precum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schimbarea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categoriei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folosinţă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pot face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numai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documente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declaraţia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făcută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sub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proprie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capului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gospodărie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lipsa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acestuia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membru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major al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gospodăriei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Procedura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categoriile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documente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norme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metodologice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E75F85" w:rsidRDefault="00E75F85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E75F85" w:rsidRDefault="00E75F85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C34E16" w:rsidRDefault="00C34E16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E75F85" w:rsidRDefault="006C53F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lastRenderedPageBreak/>
        <w:t>Impozitul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>mijloacele</w:t>
      </w:r>
      <w:proofErr w:type="spellEnd"/>
      <w:r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  <w:t xml:space="preserve"> de transport</w:t>
      </w:r>
    </w:p>
    <w:p w:rsidR="00E75F85" w:rsidRDefault="006C53F2">
      <w:pPr>
        <w:shd w:val="clear" w:color="auto" w:fill="FFFFFF"/>
        <w:spacing w:after="0" w:line="240" w:lineRule="auto"/>
        <w:ind w:left="441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impozitului</w:t>
      </w:r>
      <w:proofErr w:type="spellEnd"/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(1)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mijloacele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funcţie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tipul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mijlocului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transport, conform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prezentul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capitol.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(2)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oricăruia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dintre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următoarele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autovehicule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mijlocul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calculează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funcţie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capacitatea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cilindrică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acestuia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înmulţirea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fiecărei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grupe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200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cmc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fracţiune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aceasta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87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317"/>
        <w:gridCol w:w="1704"/>
      </w:tblGrid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Nr.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Mijloace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transport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tracţiune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mecanică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Lei/200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fracţiune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aceasta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înmatriculate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(lei/200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fracţiune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aceasta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Motociclete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tricicluri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cvadricicluri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autoturisme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1.600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8 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Motociclete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tricicluri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cvadricicluri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1.600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9 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Autoturisme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între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1.601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2.000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18 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Autoturisme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între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2.001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2.600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3F4B9C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73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Autoturisme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între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2.601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3.000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3F4B9C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146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Autoturisme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3.001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29</w:t>
            </w:r>
            <w:r w:rsidR="003F4B9C"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Autobuze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microbuze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24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tracţiune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mecanică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masa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totală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maximă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autorizată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12 tone,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30 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Tractoare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înmatriculate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18 </w:t>
            </w:r>
          </w:p>
        </w:tc>
      </w:tr>
      <w:tr w:rsidR="00E75F85"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rPr>
                <w:rFonts w:ascii="Verdana" w:eastAsia="Times New Roman" w:hAnsi="Verdana"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sz w:val="20"/>
                <w:szCs w:val="20"/>
              </w:rPr>
              <w:t xml:space="preserve">II. </w:t>
            </w:r>
            <w:proofErr w:type="spellStart"/>
            <w:r w:rsidRPr="00C34E16">
              <w:rPr>
                <w:rFonts w:ascii="Verdana" w:eastAsia="Times New Roman" w:hAnsi="Verdana"/>
                <w:sz w:val="20"/>
                <w:szCs w:val="20"/>
              </w:rPr>
              <w:t>Vehicule</w:t>
            </w:r>
            <w:proofErr w:type="spellEnd"/>
            <w:r w:rsidRPr="00C34E16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C34E16">
              <w:rPr>
                <w:rFonts w:ascii="Verdana" w:eastAsia="Times New Roman" w:hAnsi="Verdana"/>
                <w:sz w:val="20"/>
                <w:szCs w:val="20"/>
              </w:rPr>
              <w:t>înregistrate</w:t>
            </w:r>
            <w:proofErr w:type="spellEnd"/>
            <w:r w:rsidRPr="00C34E16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  <w:tr w:rsidR="003262AD" w:rsidRPr="003262A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capacitate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sz w:val="20"/>
                <w:szCs w:val="20"/>
              </w:rPr>
              <w:t xml:space="preserve">lei/200 </w:t>
            </w:r>
            <w:proofErr w:type="spellStart"/>
            <w:r w:rsidRPr="003262AD">
              <w:rPr>
                <w:rFonts w:ascii="Verdana" w:eastAsia="Times New Roman" w:hAnsi="Verdana"/>
                <w:sz w:val="20"/>
                <w:szCs w:val="20"/>
              </w:rPr>
              <w:t>cmc</w:t>
            </w:r>
            <w:proofErr w:type="spellEnd"/>
            <w:r w:rsidRPr="003262A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1.1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capacitate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&lt; 4.800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2-4 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1.2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capacitate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&gt; 4.800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cmc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4-6 </w:t>
            </w:r>
          </w:p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 </w:t>
            </w:r>
          </w:p>
        </w:tc>
      </w:tr>
      <w:tr w:rsidR="00E75F85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capacitate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cilindrică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evidenţiată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C34E16" w:rsidRDefault="006C53F2" w:rsidP="00C34E16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3F4B9C"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Pr="00C34E16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lei/an</w:t>
            </w:r>
          </w:p>
        </w:tc>
      </w:tr>
    </w:tbl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(3)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mijloacelor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hibride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se reduce cu minimum 50%, conform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hotărârii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consiliului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local.</w:t>
      </w:r>
    </w:p>
    <w:p w:rsidR="00E75F85" w:rsidRDefault="006C53F2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(4)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ataş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mijlocul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50%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motocicletele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respective.</w:t>
      </w:r>
    </w:p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(5)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autovehicul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marfă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masa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totală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autorizată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egală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mare de 12 tone,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mijloacele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egal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9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53"/>
        <w:gridCol w:w="4188"/>
        <w:gridCol w:w="2558"/>
        <w:gridCol w:w="1548"/>
      </w:tblGrid>
      <w:tr w:rsidR="00E75F85">
        <w:tc>
          <w:tcPr>
            <w:tcW w:w="52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Numărul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axe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greutatea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brută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încărcată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maximă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admisă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Impozitul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lei/an)</w:t>
            </w:r>
          </w:p>
        </w:tc>
      </w:tr>
      <w:tr w:rsidR="00E75F85">
        <w:tc>
          <w:tcPr>
            <w:tcW w:w="52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E75F8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Ax(e) motor(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oare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)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sistem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suspensie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pneumatică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echivalentele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recunoscute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sisteme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suspensie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axele</w:t>
            </w:r>
            <w:proofErr w:type="spellEnd"/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motoare</w:t>
            </w:r>
            <w:proofErr w:type="spellEnd"/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două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axe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12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13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14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400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14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15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400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562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15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562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1274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562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274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II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axe</w:t>
            </w:r>
            <w:proofErr w:type="gramEnd"/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15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17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51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17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19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19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21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70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21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23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1033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25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1033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1604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25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26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1033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1604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26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1033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1604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III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axe</w:t>
            </w:r>
            <w:proofErr w:type="gramEnd"/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25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670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67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25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27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67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1060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27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29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1060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83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29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31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1683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497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31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32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1683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2497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32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1683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3F4B9C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2497</w:t>
            </w:r>
          </w:p>
        </w:tc>
      </w:tr>
    </w:tbl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(6)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combinaţii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autovehicule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un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autovehicul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articulat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tren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rutier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de transport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marfă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masa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totală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maximă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autorizată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egală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mare de 12 tone,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mijloacele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egal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prevăzută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9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53"/>
        <w:gridCol w:w="4188"/>
        <w:gridCol w:w="2558"/>
        <w:gridCol w:w="1548"/>
      </w:tblGrid>
      <w:tr w:rsidR="00E75F85">
        <w:tc>
          <w:tcPr>
            <w:tcW w:w="52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Numărul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axe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greutatea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brută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încărcată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maximă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admisă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Impozitul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lei/an)</w:t>
            </w:r>
          </w:p>
        </w:tc>
      </w:tr>
      <w:tr w:rsidR="00E75F85">
        <w:tc>
          <w:tcPr>
            <w:tcW w:w="52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E75F8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Ax(e) motor(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oare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) cu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sistem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suspensie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pneumatică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echivalentele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recunoscute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sisteme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suspensie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axele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motoare</w:t>
            </w:r>
            <w:proofErr w:type="spellEnd"/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2+1 axe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12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14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14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16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16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18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18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20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20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22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34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22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23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  <w:r w:rsidR="003F4B9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51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25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8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25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27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9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27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II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2+2 axe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25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25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26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35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26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85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28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29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49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29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31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58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31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33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58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62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36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82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8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36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82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9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82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III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2+3 axe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36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721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23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95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38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40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23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40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23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54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IV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3+2 axe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36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111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38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40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111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920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40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44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920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319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44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920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319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V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3+3 axe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36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38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46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38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40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10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63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40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mică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44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87</w:t>
            </w:r>
          </w:p>
        </w:tc>
      </w:tr>
      <w:tr w:rsidR="00E75F8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de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cel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puţin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44 tone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24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87</w:t>
            </w:r>
          </w:p>
        </w:tc>
      </w:tr>
    </w:tbl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(7)</w:t>
      </w:r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remorci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, al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semiremorci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rulote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care nu face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parte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dintr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combinaţie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autovehicule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prevăzută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la </w:t>
      </w:r>
      <w:hyperlink w:history="1">
        <w:proofErr w:type="spellStart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alin</w:t>
        </w:r>
        <w:proofErr w:type="spellEnd"/>
        <w:r>
          <w:rPr>
            <w:rFonts w:ascii="Verdana" w:eastAsia="Times New Roman" w:hAnsi="Verdana"/>
            <w:color w:val="006400"/>
            <w:sz w:val="20"/>
            <w:szCs w:val="20"/>
            <w:u w:val="single"/>
            <w:shd w:val="clear" w:color="auto" w:fill="FFFFFF"/>
          </w:rPr>
          <w:t>. (6)</w:t>
        </w:r>
      </w:hyperlink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mijloacele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de transport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egal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FF"/>
          <w:sz w:val="20"/>
          <w:szCs w:val="20"/>
          <w:shd w:val="clear" w:color="auto" w:fill="FFFFFF"/>
        </w:rPr>
        <w:t>:</w:t>
      </w:r>
    </w:p>
    <w:tbl>
      <w:tblPr>
        <w:tblW w:w="5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1104"/>
      </w:tblGrid>
      <w:tr w:rsidR="00E75F85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totală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maximă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autorizată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Impozit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- lei - </w:t>
            </w:r>
          </w:p>
        </w:tc>
      </w:tr>
      <w:tr w:rsidR="00E75F85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la 1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tonă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 w:rsidP="003262A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9 </w:t>
            </w:r>
          </w:p>
        </w:tc>
      </w:tr>
      <w:tr w:rsidR="00E75F85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tonă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mult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3 tone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 w:rsidP="003262A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34 </w:t>
            </w:r>
          </w:p>
        </w:tc>
      </w:tr>
      <w:tr w:rsidR="00E75F85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3 tone,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dar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mai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mult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de 5 tone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 w:rsidP="003262A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E75F85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FF"/>
                <w:sz w:val="20"/>
                <w:szCs w:val="20"/>
              </w:rPr>
              <w:t xml:space="preserve"> 5 tone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3262AD" w:rsidRDefault="006C53F2" w:rsidP="003262A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</w:t>
            </w:r>
            <w:r w:rsidR="00B25CAC" w:rsidRPr="003262A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</w:p>
        </w:tc>
      </w:tr>
    </w:tbl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 xml:space="preserve"> (8)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mijloacelor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impozitul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mijlocul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egal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tabelul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următor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tbl>
      <w:tblPr>
        <w:tblW w:w="7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1"/>
        <w:gridCol w:w="1349"/>
      </w:tblGrid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Mijlocul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transport pe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Impozit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- lei - 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Luntre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bărci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motor,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folosite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pescuit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personal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21 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Bărci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fără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motor,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folosite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scopuri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Bărci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cu motor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4. Nave de sport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agrement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1.1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34</w:t>
            </w: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Scutere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Remorchere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împingătoare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X 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500 CP,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5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66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500 CP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2000 CP,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9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21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2000 CP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4000 CP,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417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4000 CP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22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67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Vapoare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fiecare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1000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tdw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fracţiune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acesta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18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Ceamuri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şlepuri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barje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fluviale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 xml:space="preserve">X 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a)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încărcare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1500 de tone,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18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b)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încărcare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1500 de tone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la 3000 de tone,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28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E75F85"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Default="006C53F2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c) cu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capacitatea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încărcare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peste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3000 de tone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F85" w:rsidRPr="0094237D" w:rsidRDefault="006C53F2" w:rsidP="0094237D">
            <w:pPr>
              <w:shd w:val="clear" w:color="auto" w:fill="FFFFFF"/>
              <w:spacing w:after="0" w:line="240" w:lineRule="auto"/>
              <w:ind w:left="225"/>
              <w:jc w:val="right"/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</w:pPr>
            <w:r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49</w:t>
            </w:r>
            <w:r w:rsidR="00B25CAC" w:rsidRPr="0094237D">
              <w:rPr>
                <w:rFonts w:ascii="Verdana" w:eastAsia="Times New Roman" w:hAnsi="Verdana"/>
                <w:b/>
                <w:color w:val="C00000"/>
                <w:sz w:val="20"/>
                <w:szCs w:val="20"/>
              </w:rPr>
              <w:t>7</w:t>
            </w:r>
          </w:p>
        </w:tc>
      </w:tr>
    </w:tbl>
    <w:p w:rsidR="00E75F85" w:rsidRDefault="006C53F2">
      <w:pPr>
        <w:shd w:val="clear" w:color="auto" w:fill="FFFFFF"/>
        <w:spacing w:after="72" w:line="240" w:lineRule="auto"/>
        <w:jc w:val="both"/>
      </w:pPr>
      <w:r>
        <w:rPr>
          <w:rFonts w:ascii="Verdana" w:eastAsia="Times New Roman" w:hAnsi="Verdana"/>
          <w:b/>
          <w:bCs/>
          <w:color w:val="8B0000"/>
          <w:sz w:val="20"/>
          <w:szCs w:val="20"/>
          <w:shd w:val="clear" w:color="auto" w:fill="FFFFFF"/>
        </w:rPr>
        <w:t>(9)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înţelesul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prezentului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articol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capacitatea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cilindrică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masa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totală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maximă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autorizată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unui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mijloc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 se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stabileşte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cartea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identitate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mijlocului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transport,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factura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achiziţie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un alt document similar.</w:t>
      </w:r>
    </w:p>
    <w:p w:rsidR="00E75F85" w:rsidRDefault="00E75F8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p w:rsidR="00586B46" w:rsidRDefault="00586B4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A52A2A"/>
          <w:sz w:val="24"/>
          <w:szCs w:val="24"/>
          <w:shd w:val="clear" w:color="auto" w:fill="FFFFFF"/>
        </w:rPr>
      </w:pPr>
    </w:p>
    <w:sectPr w:rsidR="00586B4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2F" w:rsidRDefault="0085632F">
      <w:pPr>
        <w:spacing w:after="0" w:line="240" w:lineRule="auto"/>
      </w:pPr>
      <w:r>
        <w:separator/>
      </w:r>
    </w:p>
  </w:endnote>
  <w:endnote w:type="continuationSeparator" w:id="0">
    <w:p w:rsidR="0085632F" w:rsidRDefault="0085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2F" w:rsidRDefault="008563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632F" w:rsidRDefault="0085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85"/>
    <w:rsid w:val="000721B1"/>
    <w:rsid w:val="003262AD"/>
    <w:rsid w:val="003F4B9C"/>
    <w:rsid w:val="0052036D"/>
    <w:rsid w:val="00586B46"/>
    <w:rsid w:val="005D3F7E"/>
    <w:rsid w:val="00661018"/>
    <w:rsid w:val="006C53F2"/>
    <w:rsid w:val="007C2C45"/>
    <w:rsid w:val="0085632F"/>
    <w:rsid w:val="0094237D"/>
    <w:rsid w:val="00A8591C"/>
    <w:rsid w:val="00B25CAC"/>
    <w:rsid w:val="00C34E16"/>
    <w:rsid w:val="00D36A8C"/>
    <w:rsid w:val="00DA56CE"/>
    <w:rsid w:val="00E75F85"/>
    <w:rsid w:val="00F157A0"/>
    <w:rsid w:val="00F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CD78"/>
  <w15:docId w15:val="{839EA591-CFBA-4DAE-BA9E-702F5712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greceanu viorica</dc:creator>
  <dc:description/>
  <cp:lastModifiedBy>greceanu viorica</cp:lastModifiedBy>
  <cp:revision>4</cp:revision>
  <cp:lastPrinted>2019-01-30T12:52:00Z</cp:lastPrinted>
  <dcterms:created xsi:type="dcterms:W3CDTF">2019-01-31T07:35:00Z</dcterms:created>
  <dcterms:modified xsi:type="dcterms:W3CDTF">2019-02-07T13:09:00Z</dcterms:modified>
</cp:coreProperties>
</file>